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3A" w:rsidRPr="00E27DFB" w:rsidRDefault="00672E3A" w:rsidP="00672E3A">
      <w:pPr>
        <w:pStyle w:val="Title"/>
        <w:rPr>
          <w:sz w:val="40"/>
        </w:rPr>
      </w:pPr>
      <w:bookmarkStart w:id="0" w:name="_GoBack"/>
      <w:bookmarkEnd w:id="0"/>
      <w:r w:rsidRPr="00E27DFB">
        <w:rPr>
          <w:sz w:val="40"/>
        </w:rPr>
        <w:t xml:space="preserve">Superior Court of </w:t>
      </w:r>
      <w:smartTag w:uri="urn:schemas-microsoft-com:office:smarttags" w:element="State">
        <w:smartTag w:uri="urn:schemas-microsoft-com:office:smarttags" w:element="place">
          <w:r w:rsidRPr="00E27DFB">
            <w:rPr>
              <w:sz w:val="40"/>
            </w:rPr>
            <w:t>California</w:t>
          </w:r>
        </w:smartTag>
      </w:smartTag>
    </w:p>
    <w:p w:rsidR="00672E3A" w:rsidRPr="00E27DFB" w:rsidRDefault="00E44B5F" w:rsidP="00672E3A">
      <w:pPr>
        <w:pStyle w:val="Subtitle"/>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4.7pt;width:100.8pt;height:100.8pt;z-index:251659264;visibility:visible;mso-wrap-edited:f" o:allowincell="f">
            <v:imagedata r:id="rId8" o:title=""/>
          </v:shape>
          <o:OLEObject Type="Embed" ProgID="Word.Picture.8" ShapeID="_x0000_s1026" DrawAspect="Content" ObjectID="_1721213800" r:id="rId9"/>
        </w:object>
      </w:r>
      <w:smartTag w:uri="urn:schemas-microsoft-com:office:smarttags" w:element="place">
        <w:smartTag w:uri="urn:schemas-microsoft-com:office:smarttags" w:element="PlaceType">
          <w:r w:rsidR="00672E3A" w:rsidRPr="00E27DFB">
            <w:t>County</w:t>
          </w:r>
        </w:smartTag>
        <w:r w:rsidR="00672E3A" w:rsidRPr="00E27DFB">
          <w:t xml:space="preserve"> of </w:t>
        </w:r>
        <w:smartTag w:uri="urn:schemas-microsoft-com:office:smarttags" w:element="PlaceName">
          <w:r w:rsidR="00672E3A" w:rsidRPr="00E27DFB">
            <w:t>San Benito</w:t>
          </w:r>
        </w:smartTag>
      </w:smartTag>
    </w:p>
    <w:p w:rsidR="00672E3A" w:rsidRPr="00E27DFB" w:rsidRDefault="00672E3A" w:rsidP="00672E3A">
      <w:pPr>
        <w:pStyle w:val="Heading1"/>
        <w:ind w:left="6480" w:firstLine="720"/>
      </w:pPr>
      <w:r w:rsidRPr="00E27DFB">
        <w:rPr>
          <w:i w:val="0"/>
          <w:u w:val="none"/>
        </w:rPr>
        <w:t xml:space="preserve">     </w:t>
      </w:r>
    </w:p>
    <w:p w:rsidR="00672E3A" w:rsidRPr="00E27DFB" w:rsidRDefault="00672E3A" w:rsidP="00672E3A">
      <w:pPr>
        <w:jc w:val="right"/>
      </w:pPr>
      <w:r w:rsidRPr="00E27DFB">
        <w:tab/>
      </w:r>
      <w:r w:rsidRPr="00E27DFB">
        <w:tab/>
      </w:r>
      <w:r w:rsidRPr="00E27DFB">
        <w:tab/>
      </w:r>
      <w:r w:rsidRPr="00E27DFB">
        <w:tab/>
      </w:r>
      <w:r w:rsidRPr="00E27DFB">
        <w:tab/>
      </w:r>
      <w:r w:rsidRPr="00E27DFB">
        <w:tab/>
      </w:r>
      <w:r w:rsidRPr="00E27DFB">
        <w:tab/>
      </w:r>
      <w:r w:rsidRPr="00E27DFB">
        <w:tab/>
      </w:r>
      <w:r w:rsidRPr="00E27DFB">
        <w:tab/>
      </w:r>
      <w:r w:rsidRPr="00E27DFB">
        <w:tab/>
      </w:r>
      <w:r w:rsidR="0042441A">
        <w:t>Edgar Nolasco</w:t>
      </w:r>
    </w:p>
    <w:p w:rsidR="00672E3A" w:rsidRPr="00E27DFB" w:rsidRDefault="00672E3A" w:rsidP="00672E3A">
      <w:pPr>
        <w:jc w:val="right"/>
      </w:pPr>
      <w:r w:rsidRPr="00E27DFB">
        <w:tab/>
      </w:r>
      <w:r w:rsidRPr="00E27DFB">
        <w:tab/>
      </w:r>
      <w:r w:rsidRPr="00E27DFB">
        <w:tab/>
      </w:r>
      <w:r w:rsidRPr="00E27DFB">
        <w:tab/>
      </w:r>
      <w:r w:rsidRPr="00E27DFB">
        <w:tab/>
      </w:r>
      <w:r w:rsidRPr="00E27DFB">
        <w:tab/>
      </w:r>
      <w:r w:rsidRPr="00E27DFB">
        <w:tab/>
      </w:r>
      <w:r w:rsidRPr="00E27DFB">
        <w:tab/>
      </w:r>
      <w:r w:rsidRPr="00E27DFB">
        <w:tab/>
        <w:t>Court Executive Officer</w:t>
      </w:r>
    </w:p>
    <w:p w:rsidR="00672E3A" w:rsidRPr="00E27DFB" w:rsidRDefault="00672E3A" w:rsidP="00672E3A"/>
    <w:p w:rsidR="00672E3A" w:rsidRPr="00E27DFB" w:rsidRDefault="00672E3A" w:rsidP="00672E3A">
      <w:r w:rsidRPr="00E27DFB">
        <w:tab/>
      </w:r>
      <w:r w:rsidRPr="00E27DFB">
        <w:tab/>
      </w:r>
      <w:r w:rsidRPr="00E27DFB">
        <w:tab/>
      </w:r>
      <w:r w:rsidRPr="00E27DFB">
        <w:tab/>
      </w:r>
      <w:r w:rsidRPr="00E27DFB">
        <w:tab/>
      </w:r>
      <w:r w:rsidRPr="00E27DFB">
        <w:tab/>
      </w:r>
      <w:r w:rsidRPr="00E27DFB">
        <w:tab/>
      </w:r>
      <w:r w:rsidRPr="00E27DFB">
        <w:tab/>
      </w:r>
    </w:p>
    <w:p w:rsidR="00672E3A" w:rsidRPr="00E27DFB" w:rsidRDefault="00672E3A" w:rsidP="00672E3A">
      <w:pPr>
        <w:rPr>
          <w:b/>
          <w:sz w:val="24"/>
        </w:rPr>
      </w:pPr>
    </w:p>
    <w:p w:rsidR="00672E3A" w:rsidRPr="00E27DFB" w:rsidRDefault="00672E3A" w:rsidP="00672E3A">
      <w:pPr>
        <w:rPr>
          <w:sz w:val="24"/>
          <w:szCs w:val="24"/>
        </w:rPr>
      </w:pPr>
    </w:p>
    <w:p w:rsidR="006A6080" w:rsidRDefault="008B5FE4" w:rsidP="008120C0">
      <w:pPr>
        <w:spacing w:line="360" w:lineRule="auto"/>
        <w:jc w:val="center"/>
        <w:rPr>
          <w:b/>
          <w:sz w:val="28"/>
          <w:szCs w:val="28"/>
          <w:u w:val="single"/>
        </w:rPr>
      </w:pPr>
      <w:r>
        <w:rPr>
          <w:b/>
          <w:sz w:val="28"/>
          <w:szCs w:val="28"/>
          <w:u w:val="single"/>
        </w:rPr>
        <w:t>Tentative Rulings</w:t>
      </w:r>
      <w:r w:rsidR="00E44D91" w:rsidRPr="00E27DFB">
        <w:rPr>
          <w:b/>
          <w:sz w:val="28"/>
          <w:szCs w:val="28"/>
          <w:u w:val="single"/>
        </w:rPr>
        <w:t xml:space="preserve"> for </w:t>
      </w:r>
      <w:r w:rsidR="00EA6D26">
        <w:rPr>
          <w:b/>
          <w:sz w:val="28"/>
          <w:szCs w:val="28"/>
          <w:u w:val="single"/>
        </w:rPr>
        <w:t>August 8</w:t>
      </w:r>
      <w:r w:rsidR="006A6080" w:rsidRPr="00E27DFB">
        <w:rPr>
          <w:b/>
          <w:sz w:val="28"/>
          <w:szCs w:val="28"/>
          <w:u w:val="single"/>
        </w:rPr>
        <w:t>, 20</w:t>
      </w:r>
      <w:r w:rsidR="000E6CEA" w:rsidRPr="00E27DFB">
        <w:rPr>
          <w:b/>
          <w:sz w:val="28"/>
          <w:szCs w:val="28"/>
          <w:u w:val="single"/>
        </w:rPr>
        <w:t>2</w:t>
      </w:r>
      <w:r w:rsidR="00A054B1">
        <w:rPr>
          <w:b/>
          <w:sz w:val="28"/>
          <w:szCs w:val="28"/>
          <w:u w:val="single"/>
        </w:rPr>
        <w:t>2</w:t>
      </w:r>
    </w:p>
    <w:p w:rsidR="00F6201D" w:rsidRPr="00E27DFB" w:rsidRDefault="00F6201D" w:rsidP="008120C0">
      <w:pPr>
        <w:spacing w:line="360" w:lineRule="auto"/>
        <w:jc w:val="center"/>
        <w:rPr>
          <w:b/>
          <w:sz w:val="28"/>
          <w:szCs w:val="28"/>
          <w:u w:val="single"/>
        </w:rPr>
      </w:pPr>
    </w:p>
    <w:p w:rsidR="00672E3A" w:rsidRDefault="00CF0E27" w:rsidP="00FE7504">
      <w:pPr>
        <w:spacing w:line="360" w:lineRule="auto"/>
        <w:rPr>
          <w:b/>
          <w:sz w:val="24"/>
          <w:szCs w:val="24"/>
        </w:rPr>
      </w:pPr>
      <w:r>
        <w:rPr>
          <w:b/>
          <w:sz w:val="24"/>
          <w:szCs w:val="24"/>
        </w:rPr>
        <w:t>Courtroom #3: Judge Patrick K. Palacios</w:t>
      </w:r>
    </w:p>
    <w:p w:rsidR="00E02441" w:rsidRDefault="00E02441" w:rsidP="00EA4C25">
      <w:pPr>
        <w:spacing w:line="360" w:lineRule="auto"/>
        <w:rPr>
          <w:b/>
          <w:sz w:val="24"/>
          <w:szCs w:val="24"/>
          <w:u w:val="single"/>
        </w:rPr>
      </w:pPr>
    </w:p>
    <w:p w:rsidR="008127B0" w:rsidRDefault="008127B0" w:rsidP="008127B0">
      <w:pPr>
        <w:rPr>
          <w:b/>
          <w:sz w:val="24"/>
          <w:szCs w:val="24"/>
          <w:u w:val="single"/>
        </w:rPr>
      </w:pPr>
      <w:r w:rsidRPr="00050701">
        <w:rPr>
          <w:b/>
          <w:sz w:val="24"/>
          <w:szCs w:val="24"/>
          <w:u w:val="single"/>
        </w:rPr>
        <w:t>CU-21-00241 Sunbelt Rentals, Inc. v. San Benito Hemp Campus, LTD.</w:t>
      </w:r>
    </w:p>
    <w:p w:rsidR="008127B0" w:rsidRPr="00050701" w:rsidRDefault="008127B0" w:rsidP="008127B0">
      <w:pPr>
        <w:rPr>
          <w:b/>
          <w:sz w:val="24"/>
          <w:szCs w:val="24"/>
          <w:u w:val="single"/>
        </w:rPr>
      </w:pPr>
    </w:p>
    <w:p w:rsidR="008127B0" w:rsidRDefault="008127B0" w:rsidP="008127B0">
      <w:pPr>
        <w:jc w:val="both"/>
        <w:rPr>
          <w:sz w:val="24"/>
          <w:szCs w:val="24"/>
        </w:rPr>
      </w:pPr>
      <w:r w:rsidRPr="00050701">
        <w:rPr>
          <w:sz w:val="24"/>
          <w:szCs w:val="24"/>
        </w:rPr>
        <w:t>Th</w:t>
      </w:r>
      <w:r>
        <w:rPr>
          <w:sz w:val="24"/>
          <w:szCs w:val="24"/>
        </w:rPr>
        <w:t>e case arises from Plaintiff’s Complaint for Breach of Contract, Promissory Estoppel, Quasi-Contract, Open Book Account, Unjust Enrichment, and Unfair Business Practices as a result of</w:t>
      </w:r>
      <w:r w:rsidRPr="00050701">
        <w:rPr>
          <w:sz w:val="24"/>
          <w:szCs w:val="24"/>
        </w:rPr>
        <w:t xml:space="preserve"> Defendant’s failure to pay on the </w:t>
      </w:r>
      <w:r>
        <w:rPr>
          <w:sz w:val="24"/>
          <w:szCs w:val="24"/>
        </w:rPr>
        <w:t>parties’</w:t>
      </w:r>
      <w:r w:rsidRPr="00050701">
        <w:rPr>
          <w:sz w:val="24"/>
          <w:szCs w:val="24"/>
        </w:rPr>
        <w:t xml:space="preserve"> contract for credit and rental of equipment.  On </w:t>
      </w:r>
      <w:r>
        <w:rPr>
          <w:sz w:val="24"/>
          <w:szCs w:val="24"/>
        </w:rPr>
        <w:t>April 12, 2022, Plaintiff filed a Notice of Conditional Settlement</w:t>
      </w:r>
      <w:r w:rsidRPr="00050701">
        <w:rPr>
          <w:sz w:val="24"/>
          <w:szCs w:val="24"/>
        </w:rPr>
        <w:t xml:space="preserve">.  The Plaintiff </w:t>
      </w:r>
      <w:r>
        <w:rPr>
          <w:sz w:val="24"/>
          <w:szCs w:val="24"/>
        </w:rPr>
        <w:t xml:space="preserve">now </w:t>
      </w:r>
      <w:r w:rsidRPr="00050701">
        <w:rPr>
          <w:sz w:val="24"/>
          <w:szCs w:val="24"/>
        </w:rPr>
        <w:t>asserts that Defendant has defaulted on the parties’</w:t>
      </w:r>
      <w:r>
        <w:rPr>
          <w:sz w:val="24"/>
          <w:szCs w:val="24"/>
        </w:rPr>
        <w:t xml:space="preserve"> written settlement agreement.  On June 29, 2022, Plaintiff filed its Motion for Enforcement of Settlement Agreement and Award of Costs and Attorney’s fees, pursuant to CCP§664.6.  There is no Opposition.</w:t>
      </w:r>
    </w:p>
    <w:p w:rsidR="008127B0" w:rsidRPr="00050701" w:rsidRDefault="008127B0" w:rsidP="008127B0">
      <w:pPr>
        <w:jc w:val="both"/>
        <w:rPr>
          <w:sz w:val="24"/>
          <w:szCs w:val="24"/>
        </w:rPr>
      </w:pPr>
    </w:p>
    <w:p w:rsidR="008127B0" w:rsidRDefault="008127B0" w:rsidP="008127B0">
      <w:pPr>
        <w:jc w:val="both"/>
        <w:rPr>
          <w:sz w:val="24"/>
          <w:szCs w:val="24"/>
        </w:rPr>
      </w:pPr>
      <w:r w:rsidRPr="00050701">
        <w:rPr>
          <w:sz w:val="24"/>
          <w:szCs w:val="24"/>
        </w:rPr>
        <w:t>California Code of Civil Procedure §664.6 invests the court with the power to enforce settlement agreements with summary procedures as defined by the statute.   Under the code, if parties to pending litigation stipulate out of court in a writing signed by both of them, or orally before the court, to settle the case or any part of it, the court may hear a motion to enter judgment under the terms of the settlement agreement.  Section 664.6 lays out a summary procedure which the court can use to specifically enforce an agreement settling pending litigation without the need to file a second lawsuit. (</w:t>
      </w:r>
      <w:r w:rsidRPr="00050701">
        <w:rPr>
          <w:i/>
          <w:sz w:val="24"/>
          <w:szCs w:val="24"/>
        </w:rPr>
        <w:t>Kirby v. Southern Cal. Edison</w:t>
      </w:r>
      <w:r w:rsidRPr="00050701">
        <w:rPr>
          <w:sz w:val="24"/>
          <w:szCs w:val="24"/>
        </w:rPr>
        <w:t xml:space="preserve"> (2000) 78 Cal. App. 4</w:t>
      </w:r>
      <w:r w:rsidRPr="00050701">
        <w:rPr>
          <w:sz w:val="24"/>
          <w:szCs w:val="24"/>
          <w:vertAlign w:val="superscript"/>
        </w:rPr>
        <w:t>th</w:t>
      </w:r>
      <w:r w:rsidRPr="00050701">
        <w:rPr>
          <w:sz w:val="24"/>
          <w:szCs w:val="24"/>
        </w:rPr>
        <w:t xml:space="preserve"> 840, 843.) Moreover, the section provides summary procedure to enforce settlement by entering a judgment pursuant to the terms of the parties’ settlement. (</w:t>
      </w:r>
      <w:r w:rsidRPr="00050701">
        <w:rPr>
          <w:i/>
          <w:sz w:val="24"/>
          <w:szCs w:val="24"/>
        </w:rPr>
        <w:t xml:space="preserve">Hines v. </w:t>
      </w:r>
      <w:proofErr w:type="spellStart"/>
      <w:r w:rsidRPr="00050701">
        <w:rPr>
          <w:i/>
          <w:sz w:val="24"/>
          <w:szCs w:val="24"/>
        </w:rPr>
        <w:t>Lukes</w:t>
      </w:r>
      <w:proofErr w:type="spellEnd"/>
      <w:r w:rsidRPr="00050701">
        <w:rPr>
          <w:sz w:val="24"/>
          <w:szCs w:val="24"/>
        </w:rPr>
        <w:t xml:space="preserve"> (2008) 167 Cal. App. 4</w:t>
      </w:r>
      <w:r w:rsidRPr="00050701">
        <w:rPr>
          <w:sz w:val="24"/>
          <w:szCs w:val="24"/>
          <w:vertAlign w:val="superscript"/>
        </w:rPr>
        <w:t>th</w:t>
      </w:r>
      <w:r w:rsidRPr="00050701">
        <w:rPr>
          <w:sz w:val="24"/>
          <w:szCs w:val="24"/>
        </w:rPr>
        <w:t xml:space="preserve"> 1178.)  The statute specifies that “[i]f requested by the parties, the court may retain jurisdiction over the parties to enforce the settlement until performance in full of the terms of the settlement.” (CCP§664.6 sub. (a).) </w:t>
      </w:r>
      <w:r>
        <w:rPr>
          <w:sz w:val="24"/>
          <w:szCs w:val="24"/>
        </w:rPr>
        <w:t xml:space="preserve"> </w:t>
      </w:r>
      <w:r w:rsidRPr="00050701">
        <w:rPr>
          <w:sz w:val="24"/>
          <w:szCs w:val="24"/>
        </w:rPr>
        <w:t>The statute clarifies that for the purposes of the section that a writing is signed by a party if it is signed either by the party, or by an attorney who represents the party. (CCP§664.6 sub (b).)</w:t>
      </w:r>
    </w:p>
    <w:p w:rsidR="008127B0" w:rsidRPr="00050701" w:rsidRDefault="008127B0" w:rsidP="008127B0">
      <w:pPr>
        <w:jc w:val="both"/>
        <w:rPr>
          <w:sz w:val="24"/>
          <w:szCs w:val="24"/>
        </w:rPr>
      </w:pPr>
      <w:r w:rsidRPr="00050701">
        <w:rPr>
          <w:sz w:val="24"/>
          <w:szCs w:val="24"/>
        </w:rPr>
        <w:t xml:space="preserve"> </w:t>
      </w:r>
    </w:p>
    <w:p w:rsidR="008127B0" w:rsidRDefault="008127B0" w:rsidP="008127B0">
      <w:pPr>
        <w:jc w:val="both"/>
        <w:rPr>
          <w:sz w:val="24"/>
          <w:szCs w:val="24"/>
        </w:rPr>
      </w:pPr>
      <w:r w:rsidRPr="00050701">
        <w:rPr>
          <w:sz w:val="24"/>
          <w:szCs w:val="24"/>
        </w:rPr>
        <w:t xml:space="preserve">The motion is soundly made based on the authority and terms of Code of Civil Procedure section 664.6.  The parties executed a written settlement agreement on or about 3-7-22. (Hargis Dec¶4, ex A.) According to the terms of that settlement, Defendant agreed to make monthly payments to Plaintiff in the amounts and at the times specified in the agreement.  Plaintiff states that after April 2022, Defendant has failed to make payments (Hargis Dec, </w:t>
      </w:r>
      <w:r w:rsidRPr="00050701">
        <w:rPr>
          <w:sz w:val="24"/>
          <w:szCs w:val="24"/>
        </w:rPr>
        <w:lastRenderedPageBreak/>
        <w:t>¶¶5-6.) Notice of default was sent 5-26-22. (</w:t>
      </w:r>
      <w:r w:rsidRPr="00050701">
        <w:rPr>
          <w:i/>
          <w:sz w:val="24"/>
          <w:szCs w:val="24"/>
        </w:rPr>
        <w:t xml:space="preserve">Id. </w:t>
      </w:r>
      <w:r w:rsidRPr="00050701">
        <w:rPr>
          <w:sz w:val="24"/>
          <w:szCs w:val="24"/>
        </w:rPr>
        <w:t>at ¶4.) Their default is ongoing and has not been cured and they are thus in material breach of the agreement.</w:t>
      </w:r>
      <w:r w:rsidRPr="00050701">
        <w:rPr>
          <w:i/>
          <w:sz w:val="24"/>
          <w:szCs w:val="24"/>
        </w:rPr>
        <w:t xml:space="preserve"> </w:t>
      </w:r>
      <w:r w:rsidRPr="00050701">
        <w:rPr>
          <w:sz w:val="24"/>
          <w:szCs w:val="24"/>
        </w:rPr>
        <w:t xml:space="preserve">(Hargis Dec, ¶¶8-9.)  These facts satisfy the terms of CCP§664.6. The Plaintiffs seek to have the court enter Judgment against the Defendants for a total Judgment amount of $42,334.49, which includes the principal balance as of 11-21-21 plus interest from that date to 6-21-22, less the amounts paid by the Defendant, plus costs of $503.50 for filing and service fees, plus attorneys’ fees and costs of $5193.89.  The judgment will include post judgment interest accruing at the rate of 10% per annum according to the terms of the parties signed agreement.  These requests are within the scope of the court’s authority under statute. </w:t>
      </w:r>
    </w:p>
    <w:p w:rsidR="008127B0" w:rsidRPr="00050701" w:rsidRDefault="008127B0" w:rsidP="008127B0">
      <w:pPr>
        <w:jc w:val="both"/>
        <w:rPr>
          <w:sz w:val="24"/>
          <w:szCs w:val="24"/>
        </w:rPr>
      </w:pPr>
      <w:r w:rsidRPr="00050701">
        <w:rPr>
          <w:sz w:val="24"/>
          <w:szCs w:val="24"/>
        </w:rPr>
        <w:t xml:space="preserve">  </w:t>
      </w:r>
    </w:p>
    <w:p w:rsidR="008127B0" w:rsidRPr="008127B0" w:rsidRDefault="008127B0" w:rsidP="008127B0">
      <w:pPr>
        <w:jc w:val="both"/>
        <w:rPr>
          <w:sz w:val="24"/>
          <w:szCs w:val="24"/>
        </w:rPr>
      </w:pPr>
      <w:r>
        <w:rPr>
          <w:sz w:val="24"/>
          <w:szCs w:val="24"/>
        </w:rPr>
        <w:t>The Motion is GRANTED.  Plaintiff is to</w:t>
      </w:r>
      <w:r w:rsidRPr="00050701">
        <w:rPr>
          <w:sz w:val="24"/>
          <w:szCs w:val="24"/>
        </w:rPr>
        <w:t xml:space="preserve"> pr</w:t>
      </w:r>
      <w:r>
        <w:rPr>
          <w:sz w:val="24"/>
          <w:szCs w:val="24"/>
        </w:rPr>
        <w:t>epare the judgment accordingly.</w:t>
      </w:r>
    </w:p>
    <w:p w:rsidR="008127B0" w:rsidRDefault="008127B0" w:rsidP="00E02441">
      <w:pPr>
        <w:spacing w:line="360" w:lineRule="auto"/>
        <w:rPr>
          <w:sz w:val="24"/>
          <w:szCs w:val="24"/>
        </w:rPr>
      </w:pPr>
    </w:p>
    <w:p w:rsidR="008127B0" w:rsidRPr="00EA4C25" w:rsidRDefault="008127B0" w:rsidP="008127B0">
      <w:pPr>
        <w:spacing w:line="360" w:lineRule="auto"/>
        <w:rPr>
          <w:b/>
          <w:sz w:val="24"/>
          <w:szCs w:val="24"/>
          <w:u w:val="single"/>
        </w:rPr>
      </w:pPr>
      <w:r>
        <w:rPr>
          <w:b/>
          <w:sz w:val="24"/>
          <w:szCs w:val="24"/>
          <w:u w:val="single"/>
        </w:rPr>
        <w:t xml:space="preserve">PR-22-00077 Estate of Thomas D. </w:t>
      </w:r>
      <w:proofErr w:type="spellStart"/>
      <w:r>
        <w:rPr>
          <w:b/>
          <w:sz w:val="24"/>
          <w:szCs w:val="24"/>
          <w:u w:val="single"/>
        </w:rPr>
        <w:t>Hooten</w:t>
      </w:r>
      <w:proofErr w:type="spellEnd"/>
    </w:p>
    <w:p w:rsidR="008127B0" w:rsidRPr="00E02441" w:rsidRDefault="008127B0" w:rsidP="00E02441">
      <w:pPr>
        <w:spacing w:line="360" w:lineRule="auto"/>
        <w:rPr>
          <w:sz w:val="24"/>
          <w:szCs w:val="24"/>
        </w:rPr>
      </w:pPr>
      <w:r w:rsidRPr="00EA4C25">
        <w:rPr>
          <w:sz w:val="24"/>
          <w:szCs w:val="24"/>
        </w:rPr>
        <w:t>No opposition.  The Petition is GRANTED.</w:t>
      </w:r>
    </w:p>
    <w:p w:rsidR="00EA4C25" w:rsidRPr="005A30AE" w:rsidRDefault="00EA4C25" w:rsidP="00FE7504">
      <w:pPr>
        <w:spacing w:line="360" w:lineRule="auto"/>
        <w:rPr>
          <w:sz w:val="24"/>
          <w:szCs w:val="24"/>
        </w:rPr>
      </w:pPr>
    </w:p>
    <w:p w:rsidR="002047FA" w:rsidRPr="0051127F" w:rsidRDefault="002047FA" w:rsidP="00FE7504">
      <w:pPr>
        <w:spacing w:line="360" w:lineRule="auto"/>
        <w:jc w:val="center"/>
        <w:rPr>
          <w:b/>
          <w:sz w:val="28"/>
          <w:szCs w:val="28"/>
        </w:rPr>
      </w:pPr>
      <w:r w:rsidRPr="00695504">
        <w:rPr>
          <w:b/>
          <w:sz w:val="28"/>
          <w:szCs w:val="28"/>
        </w:rPr>
        <w:t>END OF TENTATIVE RULINGS</w:t>
      </w:r>
    </w:p>
    <w:sectPr w:rsidR="002047FA" w:rsidRPr="0051127F" w:rsidSect="003D5B34">
      <w:footerReference w:type="default" r:id="rId10"/>
      <w:pgSz w:w="12240" w:h="15840"/>
      <w:pgMar w:top="1080" w:right="1800" w:bottom="16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B5F" w:rsidRDefault="00E44B5F">
      <w:r>
        <w:separator/>
      </w:r>
    </w:p>
  </w:endnote>
  <w:endnote w:type="continuationSeparator" w:id="0">
    <w:p w:rsidR="00E44B5F" w:rsidRDefault="00E4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22E" w:rsidRDefault="008932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097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0971">
      <w:rPr>
        <w:b/>
        <w:bCs/>
        <w:noProof/>
      </w:rPr>
      <w:t>2</w:t>
    </w:r>
    <w:r>
      <w:rPr>
        <w:b/>
        <w:bCs/>
        <w:sz w:val="24"/>
        <w:szCs w:val="24"/>
      </w:rPr>
      <w:fldChar w:fldCharType="end"/>
    </w:r>
  </w:p>
  <w:p w:rsidR="0089322E" w:rsidRDefault="0089322E" w:rsidP="004A2E7F">
    <w:pPr>
      <w:pStyle w:val="Footer"/>
      <w:jc w:val="center"/>
      <w:rPr>
        <w:rFonts w:ascii="Book Antiqua" w:hAnsi="Book Antiqua"/>
      </w:rPr>
    </w:pPr>
    <w:r>
      <w:rPr>
        <w:rFonts w:ascii="Book Antiqua" w:hAnsi="Book Antiqua"/>
      </w:rPr>
      <w:t>450 Fourth Street</w:t>
    </w:r>
    <w:r>
      <w:rPr>
        <w:rFonts w:ascii="Book Antiqua" w:hAnsi="Book Antiqua"/>
      </w:rPr>
      <w:sym w:font="Wingdings" w:char="F077"/>
    </w:r>
    <w:r>
      <w:rPr>
        <w:rFonts w:ascii="Book Antiqua" w:hAnsi="Book Antiqua"/>
      </w:rPr>
      <w:t xml:space="preserve">  Hollister, CA 95023</w:t>
    </w:r>
  </w:p>
  <w:p w:rsidR="0089322E" w:rsidRDefault="0089322E" w:rsidP="004A2E7F">
    <w:pPr>
      <w:pStyle w:val="Footer"/>
      <w:jc w:val="center"/>
    </w:pPr>
    <w:r>
      <w:rPr>
        <w:rFonts w:ascii="Book Antiqua" w:hAnsi="Book Antiqua"/>
      </w:rPr>
      <w:t xml:space="preserve">(831) 636-4057 x124 </w:t>
    </w:r>
    <w:r>
      <w:rPr>
        <w:rFonts w:ascii="Book Antiqua" w:hAnsi="Book Antiqua"/>
      </w:rPr>
      <w:sym w:font="Wingdings" w:char="F077"/>
    </w:r>
    <w:r>
      <w:rPr>
        <w:rFonts w:ascii="Book Antiqua" w:hAnsi="Book Antiqua"/>
      </w:rPr>
      <w:t xml:space="preserve">  FAX (831) 634-4911</w:t>
    </w:r>
  </w:p>
  <w:p w:rsidR="0089322E" w:rsidRPr="00406702" w:rsidRDefault="0089322E" w:rsidP="004A2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B5F" w:rsidRDefault="00E44B5F">
      <w:r>
        <w:separator/>
      </w:r>
    </w:p>
  </w:footnote>
  <w:footnote w:type="continuationSeparator" w:id="0">
    <w:p w:rsidR="00E44B5F" w:rsidRDefault="00E44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570"/>
    <w:multiLevelType w:val="hybridMultilevel"/>
    <w:tmpl w:val="2860508C"/>
    <w:lvl w:ilvl="0" w:tplc="98346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407691"/>
    <w:multiLevelType w:val="hybridMultilevel"/>
    <w:tmpl w:val="DE0C1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40D6E"/>
    <w:multiLevelType w:val="hybridMultilevel"/>
    <w:tmpl w:val="EBCE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228A8"/>
    <w:multiLevelType w:val="hybridMultilevel"/>
    <w:tmpl w:val="0F16FC10"/>
    <w:lvl w:ilvl="0" w:tplc="E2D6F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F4008A"/>
    <w:multiLevelType w:val="hybridMultilevel"/>
    <w:tmpl w:val="DDF0C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8152C"/>
    <w:multiLevelType w:val="hybridMultilevel"/>
    <w:tmpl w:val="34E45A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D3001"/>
    <w:multiLevelType w:val="hybridMultilevel"/>
    <w:tmpl w:val="54EC74DA"/>
    <w:lvl w:ilvl="0" w:tplc="501816D2">
      <w:start w:val="1"/>
      <w:numFmt w:val="upperRoman"/>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47C3C"/>
    <w:multiLevelType w:val="hybridMultilevel"/>
    <w:tmpl w:val="6E066C92"/>
    <w:lvl w:ilvl="0" w:tplc="1826D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714918"/>
    <w:multiLevelType w:val="hybridMultilevel"/>
    <w:tmpl w:val="85ACA782"/>
    <w:lvl w:ilvl="0" w:tplc="9BBADF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483D10"/>
    <w:multiLevelType w:val="hybridMultilevel"/>
    <w:tmpl w:val="E37A5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6"/>
  </w:num>
  <w:num w:numId="5">
    <w:abstractNumId w:val="8"/>
  </w:num>
  <w:num w:numId="6">
    <w:abstractNumId w:val="2"/>
  </w:num>
  <w:num w:numId="7">
    <w:abstractNumId w:val="4"/>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3A"/>
    <w:rsid w:val="00000906"/>
    <w:rsid w:val="00001626"/>
    <w:rsid w:val="00012397"/>
    <w:rsid w:val="0001455B"/>
    <w:rsid w:val="00015E7E"/>
    <w:rsid w:val="000162A1"/>
    <w:rsid w:val="00016F14"/>
    <w:rsid w:val="00025EA3"/>
    <w:rsid w:val="000335A2"/>
    <w:rsid w:val="00034581"/>
    <w:rsid w:val="0003477D"/>
    <w:rsid w:val="00035A56"/>
    <w:rsid w:val="00044136"/>
    <w:rsid w:val="00046599"/>
    <w:rsid w:val="0004761E"/>
    <w:rsid w:val="00051218"/>
    <w:rsid w:val="000514F2"/>
    <w:rsid w:val="00057365"/>
    <w:rsid w:val="000576F9"/>
    <w:rsid w:val="0006016D"/>
    <w:rsid w:val="00060330"/>
    <w:rsid w:val="00060384"/>
    <w:rsid w:val="00060CA3"/>
    <w:rsid w:val="0006111E"/>
    <w:rsid w:val="000627E3"/>
    <w:rsid w:val="00062E8C"/>
    <w:rsid w:val="000639F1"/>
    <w:rsid w:val="0006624C"/>
    <w:rsid w:val="0008136A"/>
    <w:rsid w:val="00081AA2"/>
    <w:rsid w:val="00081BDC"/>
    <w:rsid w:val="00082648"/>
    <w:rsid w:val="00082B29"/>
    <w:rsid w:val="00083852"/>
    <w:rsid w:val="00084F5A"/>
    <w:rsid w:val="000854FD"/>
    <w:rsid w:val="0009047D"/>
    <w:rsid w:val="00093B28"/>
    <w:rsid w:val="0009485F"/>
    <w:rsid w:val="00094946"/>
    <w:rsid w:val="000954A9"/>
    <w:rsid w:val="000954BF"/>
    <w:rsid w:val="000971E7"/>
    <w:rsid w:val="00097F67"/>
    <w:rsid w:val="000A064E"/>
    <w:rsid w:val="000A1E7A"/>
    <w:rsid w:val="000A2B06"/>
    <w:rsid w:val="000B22DC"/>
    <w:rsid w:val="000B3A62"/>
    <w:rsid w:val="000B608D"/>
    <w:rsid w:val="000B6FC3"/>
    <w:rsid w:val="000C021E"/>
    <w:rsid w:val="000C212F"/>
    <w:rsid w:val="000C35E5"/>
    <w:rsid w:val="000C4EAB"/>
    <w:rsid w:val="000C776E"/>
    <w:rsid w:val="000D2A1C"/>
    <w:rsid w:val="000D311B"/>
    <w:rsid w:val="000D65E0"/>
    <w:rsid w:val="000D7B31"/>
    <w:rsid w:val="000E6572"/>
    <w:rsid w:val="000E6CEA"/>
    <w:rsid w:val="000F0AEF"/>
    <w:rsid w:val="000F2160"/>
    <w:rsid w:val="000F33A6"/>
    <w:rsid w:val="000F368B"/>
    <w:rsid w:val="000F5D5C"/>
    <w:rsid w:val="00105F36"/>
    <w:rsid w:val="0010704B"/>
    <w:rsid w:val="001113BB"/>
    <w:rsid w:val="00111A80"/>
    <w:rsid w:val="0012176A"/>
    <w:rsid w:val="0012217F"/>
    <w:rsid w:val="0012275D"/>
    <w:rsid w:val="00122FE0"/>
    <w:rsid w:val="0012454F"/>
    <w:rsid w:val="00127BD2"/>
    <w:rsid w:val="00130AE1"/>
    <w:rsid w:val="00131007"/>
    <w:rsid w:val="00133091"/>
    <w:rsid w:val="0013519A"/>
    <w:rsid w:val="001352C3"/>
    <w:rsid w:val="0013580B"/>
    <w:rsid w:val="00141EB4"/>
    <w:rsid w:val="001426A5"/>
    <w:rsid w:val="00145BF6"/>
    <w:rsid w:val="00145CA6"/>
    <w:rsid w:val="00147700"/>
    <w:rsid w:val="00150671"/>
    <w:rsid w:val="00152247"/>
    <w:rsid w:val="001539EF"/>
    <w:rsid w:val="00157DCF"/>
    <w:rsid w:val="0016177E"/>
    <w:rsid w:val="00161CD4"/>
    <w:rsid w:val="001623C1"/>
    <w:rsid w:val="001648EE"/>
    <w:rsid w:val="00164E27"/>
    <w:rsid w:val="00167819"/>
    <w:rsid w:val="00173F46"/>
    <w:rsid w:val="0017555C"/>
    <w:rsid w:val="00177762"/>
    <w:rsid w:val="00177EED"/>
    <w:rsid w:val="001843F5"/>
    <w:rsid w:val="0018505E"/>
    <w:rsid w:val="0018671E"/>
    <w:rsid w:val="00191B15"/>
    <w:rsid w:val="00191FB2"/>
    <w:rsid w:val="001943A0"/>
    <w:rsid w:val="00197626"/>
    <w:rsid w:val="001A1989"/>
    <w:rsid w:val="001A1E9A"/>
    <w:rsid w:val="001A62AB"/>
    <w:rsid w:val="001B0FD3"/>
    <w:rsid w:val="001B301C"/>
    <w:rsid w:val="001B55B4"/>
    <w:rsid w:val="001C1641"/>
    <w:rsid w:val="001D3379"/>
    <w:rsid w:val="001D6A0A"/>
    <w:rsid w:val="001D7F00"/>
    <w:rsid w:val="001E002A"/>
    <w:rsid w:val="001E1713"/>
    <w:rsid w:val="001E358A"/>
    <w:rsid w:val="001E4FE9"/>
    <w:rsid w:val="001E571A"/>
    <w:rsid w:val="001E7DCD"/>
    <w:rsid w:val="001F14EF"/>
    <w:rsid w:val="001F2330"/>
    <w:rsid w:val="001F4D2C"/>
    <w:rsid w:val="002037B7"/>
    <w:rsid w:val="00203834"/>
    <w:rsid w:val="00203A7A"/>
    <w:rsid w:val="00203F11"/>
    <w:rsid w:val="002047FA"/>
    <w:rsid w:val="00216236"/>
    <w:rsid w:val="002167BA"/>
    <w:rsid w:val="00221B57"/>
    <w:rsid w:val="002231DE"/>
    <w:rsid w:val="00224975"/>
    <w:rsid w:val="002316D0"/>
    <w:rsid w:val="0023177C"/>
    <w:rsid w:val="00232E23"/>
    <w:rsid w:val="002338BA"/>
    <w:rsid w:val="002365BF"/>
    <w:rsid w:val="00236985"/>
    <w:rsid w:val="00240351"/>
    <w:rsid w:val="002425E8"/>
    <w:rsid w:val="00243BC7"/>
    <w:rsid w:val="00246F8B"/>
    <w:rsid w:val="00250D05"/>
    <w:rsid w:val="00252C7C"/>
    <w:rsid w:val="00252F2A"/>
    <w:rsid w:val="00254C07"/>
    <w:rsid w:val="00263050"/>
    <w:rsid w:val="0026408C"/>
    <w:rsid w:val="002646BB"/>
    <w:rsid w:val="00266A3C"/>
    <w:rsid w:val="00270222"/>
    <w:rsid w:val="00271F61"/>
    <w:rsid w:val="002734EA"/>
    <w:rsid w:val="0027443E"/>
    <w:rsid w:val="00276CA2"/>
    <w:rsid w:val="00277E38"/>
    <w:rsid w:val="002806EB"/>
    <w:rsid w:val="002873C4"/>
    <w:rsid w:val="0029014C"/>
    <w:rsid w:val="00290662"/>
    <w:rsid w:val="00292729"/>
    <w:rsid w:val="00293BF0"/>
    <w:rsid w:val="00297159"/>
    <w:rsid w:val="002A13D9"/>
    <w:rsid w:val="002A4E0F"/>
    <w:rsid w:val="002A503B"/>
    <w:rsid w:val="002A6DF2"/>
    <w:rsid w:val="002B02F4"/>
    <w:rsid w:val="002B6BC4"/>
    <w:rsid w:val="002C0CDB"/>
    <w:rsid w:val="002C2C04"/>
    <w:rsid w:val="002C5CD3"/>
    <w:rsid w:val="002D2B4A"/>
    <w:rsid w:val="002E29EE"/>
    <w:rsid w:val="002F1CD2"/>
    <w:rsid w:val="002F5BB2"/>
    <w:rsid w:val="002F71C2"/>
    <w:rsid w:val="002F7219"/>
    <w:rsid w:val="00302D74"/>
    <w:rsid w:val="003060E0"/>
    <w:rsid w:val="0030706C"/>
    <w:rsid w:val="00310645"/>
    <w:rsid w:val="00310BB2"/>
    <w:rsid w:val="00316AD6"/>
    <w:rsid w:val="0032067C"/>
    <w:rsid w:val="003218A8"/>
    <w:rsid w:val="00321D73"/>
    <w:rsid w:val="00322461"/>
    <w:rsid w:val="00324474"/>
    <w:rsid w:val="0032489E"/>
    <w:rsid w:val="00324A05"/>
    <w:rsid w:val="00330456"/>
    <w:rsid w:val="00330949"/>
    <w:rsid w:val="00332362"/>
    <w:rsid w:val="00340A43"/>
    <w:rsid w:val="00341911"/>
    <w:rsid w:val="00343B03"/>
    <w:rsid w:val="00343E05"/>
    <w:rsid w:val="003447F7"/>
    <w:rsid w:val="00344AF7"/>
    <w:rsid w:val="00350D4E"/>
    <w:rsid w:val="00354D44"/>
    <w:rsid w:val="003553A4"/>
    <w:rsid w:val="00356C6F"/>
    <w:rsid w:val="00357453"/>
    <w:rsid w:val="00361E52"/>
    <w:rsid w:val="003650EF"/>
    <w:rsid w:val="0036635D"/>
    <w:rsid w:val="00367612"/>
    <w:rsid w:val="00370BC8"/>
    <w:rsid w:val="0037170C"/>
    <w:rsid w:val="00371E91"/>
    <w:rsid w:val="003729C6"/>
    <w:rsid w:val="003737BD"/>
    <w:rsid w:val="00374BE9"/>
    <w:rsid w:val="0037553F"/>
    <w:rsid w:val="00376B1C"/>
    <w:rsid w:val="003824CF"/>
    <w:rsid w:val="0038384A"/>
    <w:rsid w:val="0038542F"/>
    <w:rsid w:val="003901A2"/>
    <w:rsid w:val="003932A4"/>
    <w:rsid w:val="003952E4"/>
    <w:rsid w:val="003A1296"/>
    <w:rsid w:val="003A3B46"/>
    <w:rsid w:val="003A4483"/>
    <w:rsid w:val="003A58A8"/>
    <w:rsid w:val="003A731C"/>
    <w:rsid w:val="003A7AEC"/>
    <w:rsid w:val="003B2D4D"/>
    <w:rsid w:val="003B3C20"/>
    <w:rsid w:val="003B5F09"/>
    <w:rsid w:val="003B624E"/>
    <w:rsid w:val="003B6826"/>
    <w:rsid w:val="003B711A"/>
    <w:rsid w:val="003B7AB7"/>
    <w:rsid w:val="003C20D5"/>
    <w:rsid w:val="003C31A1"/>
    <w:rsid w:val="003C5390"/>
    <w:rsid w:val="003C557F"/>
    <w:rsid w:val="003C657A"/>
    <w:rsid w:val="003C7355"/>
    <w:rsid w:val="003C7D84"/>
    <w:rsid w:val="003D1115"/>
    <w:rsid w:val="003D1E33"/>
    <w:rsid w:val="003D2DE8"/>
    <w:rsid w:val="003D5366"/>
    <w:rsid w:val="003D5B34"/>
    <w:rsid w:val="003D67A5"/>
    <w:rsid w:val="003E10E7"/>
    <w:rsid w:val="003E1ADC"/>
    <w:rsid w:val="003E37D3"/>
    <w:rsid w:val="003E3A1E"/>
    <w:rsid w:val="003E74F4"/>
    <w:rsid w:val="003F0143"/>
    <w:rsid w:val="004014A4"/>
    <w:rsid w:val="00401B19"/>
    <w:rsid w:val="00401B1E"/>
    <w:rsid w:val="004020B4"/>
    <w:rsid w:val="00402801"/>
    <w:rsid w:val="004030BE"/>
    <w:rsid w:val="00406901"/>
    <w:rsid w:val="00407F2B"/>
    <w:rsid w:val="00410662"/>
    <w:rsid w:val="00421C44"/>
    <w:rsid w:val="00422186"/>
    <w:rsid w:val="0042441A"/>
    <w:rsid w:val="004256DF"/>
    <w:rsid w:val="00434E68"/>
    <w:rsid w:val="00441281"/>
    <w:rsid w:val="004467D7"/>
    <w:rsid w:val="00450C56"/>
    <w:rsid w:val="0045108C"/>
    <w:rsid w:val="00452173"/>
    <w:rsid w:val="00455380"/>
    <w:rsid w:val="004555DD"/>
    <w:rsid w:val="00456AD5"/>
    <w:rsid w:val="00460222"/>
    <w:rsid w:val="00460B9F"/>
    <w:rsid w:val="00460D0B"/>
    <w:rsid w:val="0047148C"/>
    <w:rsid w:val="00472579"/>
    <w:rsid w:val="00474850"/>
    <w:rsid w:val="00474910"/>
    <w:rsid w:val="0047527E"/>
    <w:rsid w:val="00475DED"/>
    <w:rsid w:val="00477777"/>
    <w:rsid w:val="00481BC5"/>
    <w:rsid w:val="00481D6C"/>
    <w:rsid w:val="00491D2D"/>
    <w:rsid w:val="00494340"/>
    <w:rsid w:val="004965BF"/>
    <w:rsid w:val="004A2463"/>
    <w:rsid w:val="004A2BF7"/>
    <w:rsid w:val="004A2E7F"/>
    <w:rsid w:val="004A34F5"/>
    <w:rsid w:val="004A38EE"/>
    <w:rsid w:val="004A45A7"/>
    <w:rsid w:val="004A46B0"/>
    <w:rsid w:val="004A60C2"/>
    <w:rsid w:val="004A73B9"/>
    <w:rsid w:val="004A7DD5"/>
    <w:rsid w:val="004B2B35"/>
    <w:rsid w:val="004C0061"/>
    <w:rsid w:val="004C06A2"/>
    <w:rsid w:val="004C1423"/>
    <w:rsid w:val="004C278F"/>
    <w:rsid w:val="004C356C"/>
    <w:rsid w:val="004C4E40"/>
    <w:rsid w:val="004C6B60"/>
    <w:rsid w:val="004D08D8"/>
    <w:rsid w:val="004D3200"/>
    <w:rsid w:val="004D41C6"/>
    <w:rsid w:val="004D4D11"/>
    <w:rsid w:val="004D4DCE"/>
    <w:rsid w:val="004D6D47"/>
    <w:rsid w:val="004D7720"/>
    <w:rsid w:val="004E1E4F"/>
    <w:rsid w:val="004E298F"/>
    <w:rsid w:val="004E3731"/>
    <w:rsid w:val="004F195B"/>
    <w:rsid w:val="004F2953"/>
    <w:rsid w:val="004F43D9"/>
    <w:rsid w:val="0050369F"/>
    <w:rsid w:val="0051127F"/>
    <w:rsid w:val="00515B6F"/>
    <w:rsid w:val="00516700"/>
    <w:rsid w:val="00517F8A"/>
    <w:rsid w:val="005201A0"/>
    <w:rsid w:val="005249BB"/>
    <w:rsid w:val="00530EA3"/>
    <w:rsid w:val="00534984"/>
    <w:rsid w:val="00536AB3"/>
    <w:rsid w:val="00537171"/>
    <w:rsid w:val="00537FB0"/>
    <w:rsid w:val="00540B86"/>
    <w:rsid w:val="00541FB2"/>
    <w:rsid w:val="005435E7"/>
    <w:rsid w:val="005452EE"/>
    <w:rsid w:val="0054585E"/>
    <w:rsid w:val="005516C5"/>
    <w:rsid w:val="00551EDA"/>
    <w:rsid w:val="00557A3F"/>
    <w:rsid w:val="0056053F"/>
    <w:rsid w:val="00560EDC"/>
    <w:rsid w:val="00561D58"/>
    <w:rsid w:val="00564213"/>
    <w:rsid w:val="00565F4B"/>
    <w:rsid w:val="005702FF"/>
    <w:rsid w:val="00572BBB"/>
    <w:rsid w:val="00572C74"/>
    <w:rsid w:val="00572CCD"/>
    <w:rsid w:val="005739E9"/>
    <w:rsid w:val="005755FC"/>
    <w:rsid w:val="00577872"/>
    <w:rsid w:val="00577AD1"/>
    <w:rsid w:val="00577B15"/>
    <w:rsid w:val="00581333"/>
    <w:rsid w:val="00583C6D"/>
    <w:rsid w:val="00584069"/>
    <w:rsid w:val="005874CD"/>
    <w:rsid w:val="0059258D"/>
    <w:rsid w:val="005926CB"/>
    <w:rsid w:val="0059457B"/>
    <w:rsid w:val="005949FB"/>
    <w:rsid w:val="005955CE"/>
    <w:rsid w:val="005A0F2D"/>
    <w:rsid w:val="005A1B27"/>
    <w:rsid w:val="005A1D99"/>
    <w:rsid w:val="005A30AE"/>
    <w:rsid w:val="005A7A5D"/>
    <w:rsid w:val="005B15EE"/>
    <w:rsid w:val="005B286B"/>
    <w:rsid w:val="005B4102"/>
    <w:rsid w:val="005B6481"/>
    <w:rsid w:val="005C5C39"/>
    <w:rsid w:val="005C6D14"/>
    <w:rsid w:val="005C70E0"/>
    <w:rsid w:val="005C75E9"/>
    <w:rsid w:val="005D0AA0"/>
    <w:rsid w:val="005D105B"/>
    <w:rsid w:val="005D277F"/>
    <w:rsid w:val="005D66D3"/>
    <w:rsid w:val="005D6B57"/>
    <w:rsid w:val="005D7613"/>
    <w:rsid w:val="005E3322"/>
    <w:rsid w:val="005E5BA8"/>
    <w:rsid w:val="005E71B5"/>
    <w:rsid w:val="005F0CDE"/>
    <w:rsid w:val="005F33BF"/>
    <w:rsid w:val="005F6DD3"/>
    <w:rsid w:val="00606118"/>
    <w:rsid w:val="00607B72"/>
    <w:rsid w:val="006110B8"/>
    <w:rsid w:val="00611184"/>
    <w:rsid w:val="00612695"/>
    <w:rsid w:val="006140AF"/>
    <w:rsid w:val="00620C6E"/>
    <w:rsid w:val="00622F58"/>
    <w:rsid w:val="00625BA1"/>
    <w:rsid w:val="00632526"/>
    <w:rsid w:val="00635098"/>
    <w:rsid w:val="006359D3"/>
    <w:rsid w:val="00637B03"/>
    <w:rsid w:val="00642C91"/>
    <w:rsid w:val="006431BA"/>
    <w:rsid w:val="00644236"/>
    <w:rsid w:val="00644471"/>
    <w:rsid w:val="006445BE"/>
    <w:rsid w:val="00647A4D"/>
    <w:rsid w:val="006505A4"/>
    <w:rsid w:val="00652F5C"/>
    <w:rsid w:val="00654279"/>
    <w:rsid w:val="00655B03"/>
    <w:rsid w:val="006605FC"/>
    <w:rsid w:val="00661C60"/>
    <w:rsid w:val="00667A4D"/>
    <w:rsid w:val="00667C37"/>
    <w:rsid w:val="00670D18"/>
    <w:rsid w:val="00671E73"/>
    <w:rsid w:val="00672E3A"/>
    <w:rsid w:val="0067381A"/>
    <w:rsid w:val="006750F9"/>
    <w:rsid w:val="00677F70"/>
    <w:rsid w:val="00682474"/>
    <w:rsid w:val="0068259C"/>
    <w:rsid w:val="0068609E"/>
    <w:rsid w:val="00695504"/>
    <w:rsid w:val="00695E87"/>
    <w:rsid w:val="0069778E"/>
    <w:rsid w:val="006A2A35"/>
    <w:rsid w:val="006A406B"/>
    <w:rsid w:val="006A4286"/>
    <w:rsid w:val="006A6080"/>
    <w:rsid w:val="006A65A9"/>
    <w:rsid w:val="006B25B8"/>
    <w:rsid w:val="006B38B7"/>
    <w:rsid w:val="006B494A"/>
    <w:rsid w:val="006C58F2"/>
    <w:rsid w:val="006C647C"/>
    <w:rsid w:val="006C6896"/>
    <w:rsid w:val="006D13E6"/>
    <w:rsid w:val="006D142B"/>
    <w:rsid w:val="006D2A63"/>
    <w:rsid w:val="006D32B3"/>
    <w:rsid w:val="006D78E6"/>
    <w:rsid w:val="006D7F8A"/>
    <w:rsid w:val="006E097F"/>
    <w:rsid w:val="006E1341"/>
    <w:rsid w:val="006E25EF"/>
    <w:rsid w:val="006E5007"/>
    <w:rsid w:val="006E5AC1"/>
    <w:rsid w:val="006E7A34"/>
    <w:rsid w:val="006F04DC"/>
    <w:rsid w:val="006F295D"/>
    <w:rsid w:val="006F3852"/>
    <w:rsid w:val="00700860"/>
    <w:rsid w:val="007056A5"/>
    <w:rsid w:val="0070616A"/>
    <w:rsid w:val="007131B9"/>
    <w:rsid w:val="00716D3A"/>
    <w:rsid w:val="00717BB8"/>
    <w:rsid w:val="007229F5"/>
    <w:rsid w:val="00723E77"/>
    <w:rsid w:val="00725438"/>
    <w:rsid w:val="00725D0A"/>
    <w:rsid w:val="0072788C"/>
    <w:rsid w:val="00730833"/>
    <w:rsid w:val="0073199C"/>
    <w:rsid w:val="0073305B"/>
    <w:rsid w:val="00734E03"/>
    <w:rsid w:val="00736227"/>
    <w:rsid w:val="007408A4"/>
    <w:rsid w:val="007418A4"/>
    <w:rsid w:val="007422CF"/>
    <w:rsid w:val="00742968"/>
    <w:rsid w:val="00742FF2"/>
    <w:rsid w:val="007430A6"/>
    <w:rsid w:val="00743F66"/>
    <w:rsid w:val="00745E9D"/>
    <w:rsid w:val="00747A83"/>
    <w:rsid w:val="007535BE"/>
    <w:rsid w:val="00753F54"/>
    <w:rsid w:val="0075489F"/>
    <w:rsid w:val="00756914"/>
    <w:rsid w:val="007573A0"/>
    <w:rsid w:val="00762B31"/>
    <w:rsid w:val="007647A2"/>
    <w:rsid w:val="00765104"/>
    <w:rsid w:val="00766492"/>
    <w:rsid w:val="00766980"/>
    <w:rsid w:val="0076787A"/>
    <w:rsid w:val="00770071"/>
    <w:rsid w:val="00772752"/>
    <w:rsid w:val="007763A7"/>
    <w:rsid w:val="00777438"/>
    <w:rsid w:val="00785C8E"/>
    <w:rsid w:val="007923A8"/>
    <w:rsid w:val="00793063"/>
    <w:rsid w:val="00797020"/>
    <w:rsid w:val="007A1E57"/>
    <w:rsid w:val="007A23D9"/>
    <w:rsid w:val="007A2927"/>
    <w:rsid w:val="007A4073"/>
    <w:rsid w:val="007B088D"/>
    <w:rsid w:val="007B0D75"/>
    <w:rsid w:val="007B3AE2"/>
    <w:rsid w:val="007B7C51"/>
    <w:rsid w:val="007C0857"/>
    <w:rsid w:val="007D305A"/>
    <w:rsid w:val="007D5C23"/>
    <w:rsid w:val="007D7ED6"/>
    <w:rsid w:val="007E1FB6"/>
    <w:rsid w:val="007E27E8"/>
    <w:rsid w:val="007E2C32"/>
    <w:rsid w:val="007E3976"/>
    <w:rsid w:val="007E42F5"/>
    <w:rsid w:val="007E5563"/>
    <w:rsid w:val="007E6FB0"/>
    <w:rsid w:val="007F1268"/>
    <w:rsid w:val="007F2FBF"/>
    <w:rsid w:val="007F4210"/>
    <w:rsid w:val="008040AE"/>
    <w:rsid w:val="008040CF"/>
    <w:rsid w:val="00805C9B"/>
    <w:rsid w:val="0080733F"/>
    <w:rsid w:val="008073AF"/>
    <w:rsid w:val="00807D5E"/>
    <w:rsid w:val="0081155E"/>
    <w:rsid w:val="008120C0"/>
    <w:rsid w:val="008127B0"/>
    <w:rsid w:val="00813F02"/>
    <w:rsid w:val="00815784"/>
    <w:rsid w:val="00815FA4"/>
    <w:rsid w:val="00826821"/>
    <w:rsid w:val="008270C8"/>
    <w:rsid w:val="0082736E"/>
    <w:rsid w:val="00834274"/>
    <w:rsid w:val="00836F69"/>
    <w:rsid w:val="008464DF"/>
    <w:rsid w:val="00847D20"/>
    <w:rsid w:val="00854911"/>
    <w:rsid w:val="00855DB3"/>
    <w:rsid w:val="00857988"/>
    <w:rsid w:val="00861762"/>
    <w:rsid w:val="0086192B"/>
    <w:rsid w:val="008625F9"/>
    <w:rsid w:val="00862D64"/>
    <w:rsid w:val="008673F3"/>
    <w:rsid w:val="00871643"/>
    <w:rsid w:val="00872213"/>
    <w:rsid w:val="00872BA5"/>
    <w:rsid w:val="008736F6"/>
    <w:rsid w:val="008757E4"/>
    <w:rsid w:val="00877BDA"/>
    <w:rsid w:val="00877F24"/>
    <w:rsid w:val="0088150F"/>
    <w:rsid w:val="00882E82"/>
    <w:rsid w:val="00887B96"/>
    <w:rsid w:val="00891D11"/>
    <w:rsid w:val="00892C6C"/>
    <w:rsid w:val="0089322E"/>
    <w:rsid w:val="00894646"/>
    <w:rsid w:val="00894684"/>
    <w:rsid w:val="0089530C"/>
    <w:rsid w:val="00897DDD"/>
    <w:rsid w:val="008A2ADB"/>
    <w:rsid w:val="008A3C6A"/>
    <w:rsid w:val="008A5D6A"/>
    <w:rsid w:val="008A7DC4"/>
    <w:rsid w:val="008B1586"/>
    <w:rsid w:val="008B1BA4"/>
    <w:rsid w:val="008B5210"/>
    <w:rsid w:val="008B5AD7"/>
    <w:rsid w:val="008B5FE4"/>
    <w:rsid w:val="008B68AA"/>
    <w:rsid w:val="008C14FB"/>
    <w:rsid w:val="008C329E"/>
    <w:rsid w:val="008C57DE"/>
    <w:rsid w:val="008C7A5F"/>
    <w:rsid w:val="008D007D"/>
    <w:rsid w:val="008D3591"/>
    <w:rsid w:val="008D4B40"/>
    <w:rsid w:val="008D76CD"/>
    <w:rsid w:val="008E15FA"/>
    <w:rsid w:val="008E217E"/>
    <w:rsid w:val="008E33FB"/>
    <w:rsid w:val="008E3C6A"/>
    <w:rsid w:val="008E4106"/>
    <w:rsid w:val="008E4485"/>
    <w:rsid w:val="008E6113"/>
    <w:rsid w:val="008E7379"/>
    <w:rsid w:val="008F0419"/>
    <w:rsid w:val="008F2457"/>
    <w:rsid w:val="008F271F"/>
    <w:rsid w:val="008F547C"/>
    <w:rsid w:val="008F6210"/>
    <w:rsid w:val="008F739D"/>
    <w:rsid w:val="009012E7"/>
    <w:rsid w:val="00904168"/>
    <w:rsid w:val="00905478"/>
    <w:rsid w:val="00913ECE"/>
    <w:rsid w:val="00914961"/>
    <w:rsid w:val="00916FB5"/>
    <w:rsid w:val="009176D6"/>
    <w:rsid w:val="009254A0"/>
    <w:rsid w:val="0092634C"/>
    <w:rsid w:val="00933B1F"/>
    <w:rsid w:val="00933B9D"/>
    <w:rsid w:val="009348C0"/>
    <w:rsid w:val="009414C2"/>
    <w:rsid w:val="00942357"/>
    <w:rsid w:val="00942527"/>
    <w:rsid w:val="009446F2"/>
    <w:rsid w:val="00946A29"/>
    <w:rsid w:val="009478D8"/>
    <w:rsid w:val="00950673"/>
    <w:rsid w:val="00954F61"/>
    <w:rsid w:val="0095675B"/>
    <w:rsid w:val="00962D7D"/>
    <w:rsid w:val="00966BF1"/>
    <w:rsid w:val="009712E8"/>
    <w:rsid w:val="00972F38"/>
    <w:rsid w:val="009753CB"/>
    <w:rsid w:val="00977E3F"/>
    <w:rsid w:val="00977FFA"/>
    <w:rsid w:val="00980ADE"/>
    <w:rsid w:val="00981F92"/>
    <w:rsid w:val="0098596D"/>
    <w:rsid w:val="00985D71"/>
    <w:rsid w:val="00994470"/>
    <w:rsid w:val="00994610"/>
    <w:rsid w:val="00995222"/>
    <w:rsid w:val="009A0D5A"/>
    <w:rsid w:val="009A1B66"/>
    <w:rsid w:val="009A3CF3"/>
    <w:rsid w:val="009A3E86"/>
    <w:rsid w:val="009A5F45"/>
    <w:rsid w:val="009A6B75"/>
    <w:rsid w:val="009A7791"/>
    <w:rsid w:val="009B0D7B"/>
    <w:rsid w:val="009B788A"/>
    <w:rsid w:val="009B7D32"/>
    <w:rsid w:val="009C1F55"/>
    <w:rsid w:val="009C62A7"/>
    <w:rsid w:val="009C6406"/>
    <w:rsid w:val="009C64B0"/>
    <w:rsid w:val="009D2250"/>
    <w:rsid w:val="009D38B7"/>
    <w:rsid w:val="009D5178"/>
    <w:rsid w:val="009D5396"/>
    <w:rsid w:val="009D55DF"/>
    <w:rsid w:val="009D6031"/>
    <w:rsid w:val="009E3654"/>
    <w:rsid w:val="009F2B92"/>
    <w:rsid w:val="009F3408"/>
    <w:rsid w:val="009F4AA7"/>
    <w:rsid w:val="009F5B02"/>
    <w:rsid w:val="009F6270"/>
    <w:rsid w:val="009F705F"/>
    <w:rsid w:val="00A009D4"/>
    <w:rsid w:val="00A02423"/>
    <w:rsid w:val="00A03264"/>
    <w:rsid w:val="00A0391E"/>
    <w:rsid w:val="00A04593"/>
    <w:rsid w:val="00A054B1"/>
    <w:rsid w:val="00A160C6"/>
    <w:rsid w:val="00A17969"/>
    <w:rsid w:val="00A17F19"/>
    <w:rsid w:val="00A23090"/>
    <w:rsid w:val="00A251E2"/>
    <w:rsid w:val="00A27715"/>
    <w:rsid w:val="00A31FA8"/>
    <w:rsid w:val="00A36D4E"/>
    <w:rsid w:val="00A37159"/>
    <w:rsid w:val="00A3722D"/>
    <w:rsid w:val="00A3729D"/>
    <w:rsid w:val="00A45A99"/>
    <w:rsid w:val="00A46C46"/>
    <w:rsid w:val="00A50CA1"/>
    <w:rsid w:val="00A53DBF"/>
    <w:rsid w:val="00A54D30"/>
    <w:rsid w:val="00A54ECF"/>
    <w:rsid w:val="00A552A9"/>
    <w:rsid w:val="00A55FB3"/>
    <w:rsid w:val="00A57305"/>
    <w:rsid w:val="00A577D0"/>
    <w:rsid w:val="00A577D5"/>
    <w:rsid w:val="00A6160E"/>
    <w:rsid w:val="00A61B17"/>
    <w:rsid w:val="00A640B2"/>
    <w:rsid w:val="00A65A06"/>
    <w:rsid w:val="00A673C0"/>
    <w:rsid w:val="00A70FE1"/>
    <w:rsid w:val="00A728A3"/>
    <w:rsid w:val="00A757BC"/>
    <w:rsid w:val="00A7583A"/>
    <w:rsid w:val="00A75AB4"/>
    <w:rsid w:val="00A75C1A"/>
    <w:rsid w:val="00A80971"/>
    <w:rsid w:val="00A82063"/>
    <w:rsid w:val="00A82786"/>
    <w:rsid w:val="00A831B9"/>
    <w:rsid w:val="00A83D99"/>
    <w:rsid w:val="00A84EC7"/>
    <w:rsid w:val="00A85094"/>
    <w:rsid w:val="00A87A32"/>
    <w:rsid w:val="00A92646"/>
    <w:rsid w:val="00A92DE8"/>
    <w:rsid w:val="00A97376"/>
    <w:rsid w:val="00A974FD"/>
    <w:rsid w:val="00AA0148"/>
    <w:rsid w:val="00AA2A83"/>
    <w:rsid w:val="00AA2BB2"/>
    <w:rsid w:val="00AA3089"/>
    <w:rsid w:val="00AB367D"/>
    <w:rsid w:val="00AB60AB"/>
    <w:rsid w:val="00AC047A"/>
    <w:rsid w:val="00AC1B73"/>
    <w:rsid w:val="00AC1F03"/>
    <w:rsid w:val="00AC2423"/>
    <w:rsid w:val="00AC36B8"/>
    <w:rsid w:val="00AC417C"/>
    <w:rsid w:val="00AC4970"/>
    <w:rsid w:val="00AC4C6A"/>
    <w:rsid w:val="00AC6DD8"/>
    <w:rsid w:val="00AC7704"/>
    <w:rsid w:val="00AD356A"/>
    <w:rsid w:val="00AD7FF4"/>
    <w:rsid w:val="00AE12D2"/>
    <w:rsid w:val="00AE1EA3"/>
    <w:rsid w:val="00AE6329"/>
    <w:rsid w:val="00AE7350"/>
    <w:rsid w:val="00AF721B"/>
    <w:rsid w:val="00B00499"/>
    <w:rsid w:val="00B00890"/>
    <w:rsid w:val="00B00E47"/>
    <w:rsid w:val="00B02008"/>
    <w:rsid w:val="00B0296E"/>
    <w:rsid w:val="00B02F10"/>
    <w:rsid w:val="00B07A95"/>
    <w:rsid w:val="00B1171B"/>
    <w:rsid w:val="00B1240E"/>
    <w:rsid w:val="00B15DFD"/>
    <w:rsid w:val="00B21FCE"/>
    <w:rsid w:val="00B24B4C"/>
    <w:rsid w:val="00B3041E"/>
    <w:rsid w:val="00B406ED"/>
    <w:rsid w:val="00B40AD7"/>
    <w:rsid w:val="00B423C1"/>
    <w:rsid w:val="00B4538F"/>
    <w:rsid w:val="00B4755C"/>
    <w:rsid w:val="00B55744"/>
    <w:rsid w:val="00B629F1"/>
    <w:rsid w:val="00B70EAC"/>
    <w:rsid w:val="00B804B6"/>
    <w:rsid w:val="00B819F9"/>
    <w:rsid w:val="00B826BB"/>
    <w:rsid w:val="00B8626F"/>
    <w:rsid w:val="00B87927"/>
    <w:rsid w:val="00B87C70"/>
    <w:rsid w:val="00B90154"/>
    <w:rsid w:val="00B9215F"/>
    <w:rsid w:val="00B9327F"/>
    <w:rsid w:val="00B9388F"/>
    <w:rsid w:val="00BA1894"/>
    <w:rsid w:val="00BA448F"/>
    <w:rsid w:val="00BA4D1A"/>
    <w:rsid w:val="00BA72F0"/>
    <w:rsid w:val="00BB1C1D"/>
    <w:rsid w:val="00BB5B31"/>
    <w:rsid w:val="00BC4BDF"/>
    <w:rsid w:val="00BD2C49"/>
    <w:rsid w:val="00BD4BA2"/>
    <w:rsid w:val="00BD5D29"/>
    <w:rsid w:val="00BD61E4"/>
    <w:rsid w:val="00BE5051"/>
    <w:rsid w:val="00BE5AD4"/>
    <w:rsid w:val="00BE5B2F"/>
    <w:rsid w:val="00BE5DB0"/>
    <w:rsid w:val="00BF200B"/>
    <w:rsid w:val="00BF54AD"/>
    <w:rsid w:val="00BF5C51"/>
    <w:rsid w:val="00BF5EE3"/>
    <w:rsid w:val="00BF69C2"/>
    <w:rsid w:val="00C01597"/>
    <w:rsid w:val="00C01EBD"/>
    <w:rsid w:val="00C07499"/>
    <w:rsid w:val="00C21803"/>
    <w:rsid w:val="00C23A24"/>
    <w:rsid w:val="00C24107"/>
    <w:rsid w:val="00C33FE2"/>
    <w:rsid w:val="00C37BA8"/>
    <w:rsid w:val="00C40308"/>
    <w:rsid w:val="00C40761"/>
    <w:rsid w:val="00C4432A"/>
    <w:rsid w:val="00C544C9"/>
    <w:rsid w:val="00C54C07"/>
    <w:rsid w:val="00C565F6"/>
    <w:rsid w:val="00C57455"/>
    <w:rsid w:val="00C628D2"/>
    <w:rsid w:val="00C70DEB"/>
    <w:rsid w:val="00C72890"/>
    <w:rsid w:val="00C73217"/>
    <w:rsid w:val="00C74FE2"/>
    <w:rsid w:val="00C768D3"/>
    <w:rsid w:val="00C83863"/>
    <w:rsid w:val="00C8489B"/>
    <w:rsid w:val="00C84EB4"/>
    <w:rsid w:val="00C85B1D"/>
    <w:rsid w:val="00C86179"/>
    <w:rsid w:val="00C8642B"/>
    <w:rsid w:val="00C87464"/>
    <w:rsid w:val="00C901DC"/>
    <w:rsid w:val="00C90491"/>
    <w:rsid w:val="00C917B2"/>
    <w:rsid w:val="00C92647"/>
    <w:rsid w:val="00C92C42"/>
    <w:rsid w:val="00C94145"/>
    <w:rsid w:val="00C95498"/>
    <w:rsid w:val="00C966EF"/>
    <w:rsid w:val="00C97DB0"/>
    <w:rsid w:val="00CA123E"/>
    <w:rsid w:val="00CA36F4"/>
    <w:rsid w:val="00CA7BC2"/>
    <w:rsid w:val="00CB1BA9"/>
    <w:rsid w:val="00CB7B56"/>
    <w:rsid w:val="00CC1428"/>
    <w:rsid w:val="00CC75E6"/>
    <w:rsid w:val="00CD441B"/>
    <w:rsid w:val="00CD562E"/>
    <w:rsid w:val="00CD6514"/>
    <w:rsid w:val="00CD6CAF"/>
    <w:rsid w:val="00CE0444"/>
    <w:rsid w:val="00CE538F"/>
    <w:rsid w:val="00CE6AD8"/>
    <w:rsid w:val="00CF0E27"/>
    <w:rsid w:val="00CF2E8E"/>
    <w:rsid w:val="00CF5BCC"/>
    <w:rsid w:val="00CF71E5"/>
    <w:rsid w:val="00D00CB7"/>
    <w:rsid w:val="00D03E7D"/>
    <w:rsid w:val="00D0531A"/>
    <w:rsid w:val="00D077BF"/>
    <w:rsid w:val="00D109E8"/>
    <w:rsid w:val="00D148D2"/>
    <w:rsid w:val="00D159FD"/>
    <w:rsid w:val="00D22B34"/>
    <w:rsid w:val="00D24885"/>
    <w:rsid w:val="00D258F0"/>
    <w:rsid w:val="00D26C1E"/>
    <w:rsid w:val="00D2781A"/>
    <w:rsid w:val="00D33999"/>
    <w:rsid w:val="00D33D1B"/>
    <w:rsid w:val="00D35771"/>
    <w:rsid w:val="00D36884"/>
    <w:rsid w:val="00D37C29"/>
    <w:rsid w:val="00D40143"/>
    <w:rsid w:val="00D41AA5"/>
    <w:rsid w:val="00D42698"/>
    <w:rsid w:val="00D4385E"/>
    <w:rsid w:val="00D44B96"/>
    <w:rsid w:val="00D50441"/>
    <w:rsid w:val="00D51509"/>
    <w:rsid w:val="00D57BD6"/>
    <w:rsid w:val="00D61498"/>
    <w:rsid w:val="00D658C4"/>
    <w:rsid w:val="00D72DBC"/>
    <w:rsid w:val="00D73017"/>
    <w:rsid w:val="00D76755"/>
    <w:rsid w:val="00D769F9"/>
    <w:rsid w:val="00D81E00"/>
    <w:rsid w:val="00D81FC6"/>
    <w:rsid w:val="00D837E9"/>
    <w:rsid w:val="00D85B10"/>
    <w:rsid w:val="00D85CED"/>
    <w:rsid w:val="00D87A23"/>
    <w:rsid w:val="00D918D6"/>
    <w:rsid w:val="00D9233C"/>
    <w:rsid w:val="00D95DDF"/>
    <w:rsid w:val="00D97E26"/>
    <w:rsid w:val="00DA10A2"/>
    <w:rsid w:val="00DA2241"/>
    <w:rsid w:val="00DA3CD5"/>
    <w:rsid w:val="00DB344C"/>
    <w:rsid w:val="00DB466B"/>
    <w:rsid w:val="00DB776E"/>
    <w:rsid w:val="00DC0956"/>
    <w:rsid w:val="00DC73DD"/>
    <w:rsid w:val="00DD18D4"/>
    <w:rsid w:val="00DD1CBE"/>
    <w:rsid w:val="00DD3065"/>
    <w:rsid w:val="00DD3DE0"/>
    <w:rsid w:val="00DD3F2C"/>
    <w:rsid w:val="00DD659E"/>
    <w:rsid w:val="00DD701E"/>
    <w:rsid w:val="00DD7BEA"/>
    <w:rsid w:val="00DE01D4"/>
    <w:rsid w:val="00DE06CB"/>
    <w:rsid w:val="00DE073D"/>
    <w:rsid w:val="00DE2D54"/>
    <w:rsid w:val="00DF3070"/>
    <w:rsid w:val="00DF3C25"/>
    <w:rsid w:val="00DF3DC4"/>
    <w:rsid w:val="00DF62DB"/>
    <w:rsid w:val="00E0185E"/>
    <w:rsid w:val="00E02441"/>
    <w:rsid w:val="00E038B9"/>
    <w:rsid w:val="00E03F52"/>
    <w:rsid w:val="00E06BE0"/>
    <w:rsid w:val="00E11931"/>
    <w:rsid w:val="00E131BE"/>
    <w:rsid w:val="00E13C72"/>
    <w:rsid w:val="00E142C4"/>
    <w:rsid w:val="00E14496"/>
    <w:rsid w:val="00E162F7"/>
    <w:rsid w:val="00E238ED"/>
    <w:rsid w:val="00E27DFB"/>
    <w:rsid w:val="00E32498"/>
    <w:rsid w:val="00E3362F"/>
    <w:rsid w:val="00E41FE5"/>
    <w:rsid w:val="00E4218D"/>
    <w:rsid w:val="00E443F9"/>
    <w:rsid w:val="00E44ACC"/>
    <w:rsid w:val="00E44B5F"/>
    <w:rsid w:val="00E44D91"/>
    <w:rsid w:val="00E47501"/>
    <w:rsid w:val="00E53500"/>
    <w:rsid w:val="00E55084"/>
    <w:rsid w:val="00E55A39"/>
    <w:rsid w:val="00E5669E"/>
    <w:rsid w:val="00E570B4"/>
    <w:rsid w:val="00E604A7"/>
    <w:rsid w:val="00E617E2"/>
    <w:rsid w:val="00E63520"/>
    <w:rsid w:val="00E644FC"/>
    <w:rsid w:val="00E660E4"/>
    <w:rsid w:val="00E72A51"/>
    <w:rsid w:val="00E73EBC"/>
    <w:rsid w:val="00E75377"/>
    <w:rsid w:val="00E759C2"/>
    <w:rsid w:val="00E75BD0"/>
    <w:rsid w:val="00E76489"/>
    <w:rsid w:val="00E80FF9"/>
    <w:rsid w:val="00E82E97"/>
    <w:rsid w:val="00E83093"/>
    <w:rsid w:val="00E84331"/>
    <w:rsid w:val="00E875DA"/>
    <w:rsid w:val="00E87DC1"/>
    <w:rsid w:val="00E914B9"/>
    <w:rsid w:val="00E94128"/>
    <w:rsid w:val="00E954E6"/>
    <w:rsid w:val="00E97616"/>
    <w:rsid w:val="00E9778B"/>
    <w:rsid w:val="00EA16C1"/>
    <w:rsid w:val="00EA1E23"/>
    <w:rsid w:val="00EA222B"/>
    <w:rsid w:val="00EA49FB"/>
    <w:rsid w:val="00EA4C25"/>
    <w:rsid w:val="00EA6D26"/>
    <w:rsid w:val="00EA7FE8"/>
    <w:rsid w:val="00EB17B6"/>
    <w:rsid w:val="00EB42E1"/>
    <w:rsid w:val="00EB64EB"/>
    <w:rsid w:val="00EB65C9"/>
    <w:rsid w:val="00EB7699"/>
    <w:rsid w:val="00EC12D7"/>
    <w:rsid w:val="00EC61A9"/>
    <w:rsid w:val="00EE0257"/>
    <w:rsid w:val="00EE346C"/>
    <w:rsid w:val="00EE3EEC"/>
    <w:rsid w:val="00EE4189"/>
    <w:rsid w:val="00EE5727"/>
    <w:rsid w:val="00EE7061"/>
    <w:rsid w:val="00EF3A49"/>
    <w:rsid w:val="00EF40F6"/>
    <w:rsid w:val="00EF4352"/>
    <w:rsid w:val="00EF59D0"/>
    <w:rsid w:val="00F0262F"/>
    <w:rsid w:val="00F04407"/>
    <w:rsid w:val="00F05403"/>
    <w:rsid w:val="00F17234"/>
    <w:rsid w:val="00F17B2F"/>
    <w:rsid w:val="00F20BA6"/>
    <w:rsid w:val="00F2140D"/>
    <w:rsid w:val="00F21522"/>
    <w:rsid w:val="00F21BF8"/>
    <w:rsid w:val="00F21D60"/>
    <w:rsid w:val="00F31C03"/>
    <w:rsid w:val="00F32EF7"/>
    <w:rsid w:val="00F34789"/>
    <w:rsid w:val="00F41320"/>
    <w:rsid w:val="00F44BFF"/>
    <w:rsid w:val="00F44D25"/>
    <w:rsid w:val="00F47E45"/>
    <w:rsid w:val="00F56FED"/>
    <w:rsid w:val="00F574A4"/>
    <w:rsid w:val="00F6023C"/>
    <w:rsid w:val="00F60440"/>
    <w:rsid w:val="00F6201D"/>
    <w:rsid w:val="00F62859"/>
    <w:rsid w:val="00F62A7D"/>
    <w:rsid w:val="00F6302B"/>
    <w:rsid w:val="00F66ACE"/>
    <w:rsid w:val="00F70731"/>
    <w:rsid w:val="00F712B0"/>
    <w:rsid w:val="00F74CD7"/>
    <w:rsid w:val="00F813E2"/>
    <w:rsid w:val="00F82148"/>
    <w:rsid w:val="00F830F6"/>
    <w:rsid w:val="00F83110"/>
    <w:rsid w:val="00F861BE"/>
    <w:rsid w:val="00F8748C"/>
    <w:rsid w:val="00F91AC5"/>
    <w:rsid w:val="00F932CE"/>
    <w:rsid w:val="00F95153"/>
    <w:rsid w:val="00F95CFB"/>
    <w:rsid w:val="00F96FE1"/>
    <w:rsid w:val="00FA2011"/>
    <w:rsid w:val="00FA5A43"/>
    <w:rsid w:val="00FB34A3"/>
    <w:rsid w:val="00FC0BA5"/>
    <w:rsid w:val="00FC1678"/>
    <w:rsid w:val="00FC1C6F"/>
    <w:rsid w:val="00FC2977"/>
    <w:rsid w:val="00FC4D9F"/>
    <w:rsid w:val="00FC6D59"/>
    <w:rsid w:val="00FD1DFD"/>
    <w:rsid w:val="00FD57CA"/>
    <w:rsid w:val="00FD66AD"/>
    <w:rsid w:val="00FD7F7E"/>
    <w:rsid w:val="00FE12A4"/>
    <w:rsid w:val="00FE1DDA"/>
    <w:rsid w:val="00FE587C"/>
    <w:rsid w:val="00FE7504"/>
    <w:rsid w:val="00FF187D"/>
    <w:rsid w:val="00FF1E2C"/>
    <w:rsid w:val="00FF2827"/>
    <w:rsid w:val="00FF4FA3"/>
    <w:rsid w:val="00FF6F7B"/>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0BACF2D3-0451-4D00-A78F-99A81103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3A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72E3A"/>
    <w:pPr>
      <w:keepNext/>
      <w:jc w:val="center"/>
      <w:outlineLvl w:val="0"/>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E3A"/>
    <w:rPr>
      <w:rFonts w:ascii="Times New Roman" w:eastAsia="Times New Roman" w:hAnsi="Times New Roman" w:cs="Times New Roman"/>
      <w:b/>
      <w:i/>
      <w:sz w:val="24"/>
      <w:szCs w:val="20"/>
      <w:u w:val="single"/>
    </w:rPr>
  </w:style>
  <w:style w:type="paragraph" w:styleId="Title">
    <w:name w:val="Title"/>
    <w:basedOn w:val="Normal"/>
    <w:link w:val="TitleChar"/>
    <w:qFormat/>
    <w:rsid w:val="00672E3A"/>
    <w:pPr>
      <w:jc w:val="center"/>
    </w:pPr>
    <w:rPr>
      <w:rFonts w:ascii="Book Antiqua" w:hAnsi="Book Antiqua"/>
      <w:b/>
      <w:noProof/>
      <w:sz w:val="28"/>
    </w:rPr>
  </w:style>
  <w:style w:type="character" w:customStyle="1" w:styleId="TitleChar">
    <w:name w:val="Title Char"/>
    <w:basedOn w:val="DefaultParagraphFont"/>
    <w:link w:val="Title"/>
    <w:rsid w:val="00672E3A"/>
    <w:rPr>
      <w:rFonts w:ascii="Book Antiqua" w:eastAsia="Times New Roman" w:hAnsi="Book Antiqua" w:cs="Times New Roman"/>
      <w:b/>
      <w:noProof/>
      <w:sz w:val="28"/>
      <w:szCs w:val="20"/>
    </w:rPr>
  </w:style>
  <w:style w:type="paragraph" w:styleId="Subtitle">
    <w:name w:val="Subtitle"/>
    <w:basedOn w:val="Normal"/>
    <w:link w:val="SubtitleChar"/>
    <w:qFormat/>
    <w:rsid w:val="00672E3A"/>
    <w:pPr>
      <w:jc w:val="center"/>
    </w:pPr>
    <w:rPr>
      <w:rFonts w:ascii="Book Antiqua" w:hAnsi="Book Antiqua"/>
      <w:b/>
      <w:noProof/>
      <w:sz w:val="40"/>
    </w:rPr>
  </w:style>
  <w:style w:type="character" w:customStyle="1" w:styleId="SubtitleChar">
    <w:name w:val="Subtitle Char"/>
    <w:basedOn w:val="DefaultParagraphFont"/>
    <w:link w:val="Subtitle"/>
    <w:rsid w:val="00672E3A"/>
    <w:rPr>
      <w:rFonts w:ascii="Book Antiqua" w:eastAsia="Times New Roman" w:hAnsi="Book Antiqua" w:cs="Times New Roman"/>
      <w:b/>
      <w:noProof/>
      <w:sz w:val="40"/>
      <w:szCs w:val="20"/>
    </w:rPr>
  </w:style>
  <w:style w:type="paragraph" w:styleId="Header">
    <w:name w:val="header"/>
    <w:basedOn w:val="Normal"/>
    <w:link w:val="HeaderChar"/>
    <w:rsid w:val="00672E3A"/>
    <w:pPr>
      <w:tabs>
        <w:tab w:val="center" w:pos="4320"/>
        <w:tab w:val="right" w:pos="8640"/>
      </w:tabs>
    </w:pPr>
  </w:style>
  <w:style w:type="character" w:customStyle="1" w:styleId="HeaderChar">
    <w:name w:val="Header Char"/>
    <w:basedOn w:val="DefaultParagraphFont"/>
    <w:link w:val="Header"/>
    <w:rsid w:val="00672E3A"/>
    <w:rPr>
      <w:rFonts w:ascii="Times New Roman" w:eastAsia="Times New Roman" w:hAnsi="Times New Roman" w:cs="Times New Roman"/>
      <w:sz w:val="20"/>
      <w:szCs w:val="20"/>
    </w:rPr>
  </w:style>
  <w:style w:type="paragraph" w:styleId="Footer">
    <w:name w:val="footer"/>
    <w:basedOn w:val="Normal"/>
    <w:link w:val="FooterChar"/>
    <w:uiPriority w:val="99"/>
    <w:rsid w:val="00672E3A"/>
    <w:pPr>
      <w:tabs>
        <w:tab w:val="center" w:pos="4320"/>
        <w:tab w:val="right" w:pos="8640"/>
      </w:tabs>
    </w:pPr>
  </w:style>
  <w:style w:type="character" w:customStyle="1" w:styleId="FooterChar">
    <w:name w:val="Footer Char"/>
    <w:basedOn w:val="DefaultParagraphFont"/>
    <w:link w:val="Footer"/>
    <w:uiPriority w:val="99"/>
    <w:rsid w:val="00672E3A"/>
    <w:rPr>
      <w:rFonts w:ascii="Times New Roman" w:eastAsia="Times New Roman" w:hAnsi="Times New Roman" w:cs="Times New Roman"/>
      <w:sz w:val="20"/>
      <w:szCs w:val="20"/>
    </w:rPr>
  </w:style>
  <w:style w:type="character" w:customStyle="1" w:styleId="ssit">
    <w:name w:val="ss_it"/>
    <w:basedOn w:val="DefaultParagraphFont"/>
    <w:rsid w:val="00203F11"/>
  </w:style>
  <w:style w:type="paragraph" w:styleId="ListParagraph">
    <w:name w:val="List Paragraph"/>
    <w:basedOn w:val="Normal"/>
    <w:uiPriority w:val="34"/>
    <w:qFormat/>
    <w:rsid w:val="006A65A9"/>
    <w:pPr>
      <w:spacing w:after="200" w:line="276" w:lineRule="auto"/>
      <w:ind w:left="720"/>
      <w:contextualSpacing/>
    </w:pPr>
    <w:rPr>
      <w:rFonts w:asciiTheme="minorHAnsi" w:eastAsiaTheme="minorHAnsi" w:hAnsiTheme="minorHAnsi" w:cstheme="minorBidi"/>
      <w:sz w:val="22"/>
      <w:szCs w:val="22"/>
    </w:rPr>
  </w:style>
  <w:style w:type="character" w:customStyle="1" w:styleId="ssrfcpassagedeactivated">
    <w:name w:val="ss_rfcpassage_deactivated"/>
    <w:basedOn w:val="DefaultParagraphFont"/>
    <w:rsid w:val="00E038B9"/>
  </w:style>
  <w:style w:type="character" w:styleId="Hyperlink">
    <w:name w:val="Hyperlink"/>
    <w:basedOn w:val="DefaultParagraphFont"/>
    <w:uiPriority w:val="99"/>
    <w:semiHidden/>
    <w:unhideWhenUsed/>
    <w:rsid w:val="00E038B9"/>
    <w:rPr>
      <w:color w:val="0000FF"/>
      <w:u w:val="single"/>
    </w:rPr>
  </w:style>
  <w:style w:type="paragraph" w:styleId="NormalWeb">
    <w:name w:val="Normal (Web)"/>
    <w:basedOn w:val="Normal"/>
    <w:uiPriority w:val="99"/>
    <w:semiHidden/>
    <w:unhideWhenUsed/>
    <w:rsid w:val="00DB776E"/>
    <w:pPr>
      <w:spacing w:before="100" w:beforeAutospacing="1" w:after="100" w:afterAutospacing="1"/>
    </w:pPr>
    <w:rPr>
      <w:sz w:val="24"/>
      <w:szCs w:val="24"/>
    </w:rPr>
  </w:style>
  <w:style w:type="character" w:styleId="PlaceholderText">
    <w:name w:val="Placeholder Text"/>
    <w:basedOn w:val="DefaultParagraphFont"/>
    <w:uiPriority w:val="99"/>
    <w:semiHidden/>
    <w:rsid w:val="00B00E47"/>
    <w:rPr>
      <w:color w:val="808080"/>
    </w:rPr>
  </w:style>
  <w:style w:type="paragraph" w:styleId="FootnoteText">
    <w:name w:val="footnote text"/>
    <w:basedOn w:val="Normal"/>
    <w:link w:val="FootnoteTextChar"/>
    <w:uiPriority w:val="99"/>
    <w:semiHidden/>
    <w:unhideWhenUsed/>
    <w:rsid w:val="00270222"/>
  </w:style>
  <w:style w:type="character" w:customStyle="1" w:styleId="FootnoteTextChar">
    <w:name w:val="Footnote Text Char"/>
    <w:basedOn w:val="DefaultParagraphFont"/>
    <w:link w:val="FootnoteText"/>
    <w:uiPriority w:val="99"/>
    <w:semiHidden/>
    <w:rsid w:val="0027022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0222"/>
    <w:rPr>
      <w:vertAlign w:val="superscript"/>
    </w:rPr>
  </w:style>
  <w:style w:type="table" w:styleId="TableGrid">
    <w:name w:val="Table Grid"/>
    <w:basedOn w:val="TableNormal"/>
    <w:uiPriority w:val="39"/>
    <w:rsid w:val="00097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89F3E-BCDB-4DC1-94AF-20CB9744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Placer</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 Medland</dc:creator>
  <cp:keywords/>
  <dc:description/>
  <cp:lastModifiedBy>Margaret Jones-Ryan</cp:lastModifiedBy>
  <cp:revision>2</cp:revision>
  <cp:lastPrinted>2021-02-10T19:24:00Z</cp:lastPrinted>
  <dcterms:created xsi:type="dcterms:W3CDTF">2022-08-05T21:10:00Z</dcterms:created>
  <dcterms:modified xsi:type="dcterms:W3CDTF">2022-08-05T21:10:00Z</dcterms:modified>
</cp:coreProperties>
</file>